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EB03" w14:textId="2130409B" w:rsidR="00E57469" w:rsidRPr="00E57469" w:rsidRDefault="00E57469" w:rsidP="00D06DF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E574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Ссылка на статью </w:t>
      </w:r>
      <w:hyperlink r:id="rId5" w:history="1">
        <w:r w:rsidRPr="00E57469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http://www.zodchiy21.ru/532</w:t>
        </w:r>
      </w:hyperlink>
    </w:p>
    <w:bookmarkEnd w:id="0"/>
    <w:p w14:paraId="791BE868" w14:textId="77777777" w:rsidR="00E57469" w:rsidRDefault="00E57469" w:rsidP="00D06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D961" w14:textId="77777777" w:rsidR="00E57469" w:rsidRDefault="00E57469" w:rsidP="00D06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D9718" w14:textId="4F2DBF7C" w:rsidR="004A32B9" w:rsidRPr="009D4676" w:rsidRDefault="008E0C94" w:rsidP="00D06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676">
        <w:rPr>
          <w:rFonts w:ascii="Times New Roman" w:hAnsi="Times New Roman" w:cs="Times New Roman"/>
          <w:b/>
          <w:sz w:val="24"/>
          <w:szCs w:val="24"/>
        </w:rPr>
        <w:t xml:space="preserve">Возможности формирования </w:t>
      </w:r>
      <w:proofErr w:type="spellStart"/>
      <w:r w:rsidRPr="009D4676">
        <w:rPr>
          <w:rFonts w:ascii="Times New Roman" w:hAnsi="Times New Roman" w:cs="Times New Roman"/>
          <w:b/>
          <w:sz w:val="24"/>
          <w:szCs w:val="24"/>
        </w:rPr>
        <w:t>Приневской</w:t>
      </w:r>
      <w:proofErr w:type="spellEnd"/>
      <w:r w:rsidRPr="009D4676">
        <w:rPr>
          <w:rFonts w:ascii="Times New Roman" w:hAnsi="Times New Roman" w:cs="Times New Roman"/>
          <w:b/>
          <w:sz w:val="24"/>
          <w:szCs w:val="24"/>
        </w:rPr>
        <w:t xml:space="preserve"> урбанизированной зоны</w:t>
      </w:r>
    </w:p>
    <w:p w14:paraId="218BB77B" w14:textId="77777777" w:rsidR="008E0C94" w:rsidRPr="009D4676" w:rsidRDefault="008E0C94" w:rsidP="00D06D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676">
        <w:rPr>
          <w:rFonts w:ascii="Times New Roman" w:hAnsi="Times New Roman" w:cs="Times New Roman"/>
          <w:b/>
          <w:sz w:val="24"/>
          <w:szCs w:val="24"/>
        </w:rPr>
        <w:t>С.Д. Митягин</w:t>
      </w:r>
    </w:p>
    <w:p w14:paraId="5A9B26B2" w14:textId="77777777" w:rsidR="00D06DFB" w:rsidRDefault="00D06DFB" w:rsidP="00D06D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436AA" w14:textId="6CED7A89" w:rsidR="008E0C94" w:rsidRPr="009D4676" w:rsidRDefault="0F5AB7DF" w:rsidP="0F5AB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5AB7DF">
        <w:rPr>
          <w:rFonts w:ascii="Times New Roman" w:eastAsia="Times New Roman" w:hAnsi="Times New Roman" w:cs="Times New Roman"/>
          <w:sz w:val="24"/>
          <w:szCs w:val="24"/>
        </w:rPr>
        <w:t>Концепция градостроительного развития Приневской урбанизированной зоны, состоящая из территории Санкт-Петербурга и ближайших к городу муниципальных образований, расположенных в ареале ежедневной маятниковой доступности общественных видов рельсового и автомобильного транспорта, разрабатывается в целях обеспечения условий экологически безопасного функционирования и развития социально-экономического комплекса Санкт-Петербурга, а также для создания предпосылок наращивания инфраструктурного потенциала, включающих в ареал миграционного влияния Санкт-Петербурга, поселения Ленинградской области.</w:t>
      </w:r>
    </w:p>
    <w:p w14:paraId="657738C7" w14:textId="590CED6F" w:rsidR="008E0C94" w:rsidRDefault="008E0C94" w:rsidP="00D06D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676">
        <w:rPr>
          <w:rFonts w:ascii="Times New Roman" w:hAnsi="Times New Roman" w:cs="Times New Roman"/>
          <w:sz w:val="24"/>
          <w:szCs w:val="24"/>
        </w:rPr>
        <w:t xml:space="preserve">Приневская урбанизированная зона, принципиально разделенная </w:t>
      </w:r>
      <w:r w:rsidR="009D4676" w:rsidRPr="009D4676">
        <w:rPr>
          <w:rFonts w:ascii="Times New Roman" w:hAnsi="Times New Roman" w:cs="Times New Roman"/>
          <w:sz w:val="24"/>
          <w:szCs w:val="24"/>
        </w:rPr>
        <w:t xml:space="preserve">природой </w:t>
      </w:r>
      <w:r w:rsidRPr="009D4676">
        <w:rPr>
          <w:rFonts w:ascii="Times New Roman" w:hAnsi="Times New Roman" w:cs="Times New Roman"/>
          <w:sz w:val="24"/>
          <w:szCs w:val="24"/>
        </w:rPr>
        <w:t xml:space="preserve">на два собственно </w:t>
      </w:r>
      <w:r w:rsidR="008D7BF6" w:rsidRPr="009D4676">
        <w:rPr>
          <w:rFonts w:ascii="Times New Roman" w:hAnsi="Times New Roman" w:cs="Times New Roman"/>
          <w:sz w:val="24"/>
          <w:szCs w:val="24"/>
        </w:rPr>
        <w:t>территориальных</w:t>
      </w:r>
      <w:r w:rsidRPr="009D4676">
        <w:rPr>
          <w:rFonts w:ascii="Times New Roman" w:hAnsi="Times New Roman" w:cs="Times New Roman"/>
          <w:sz w:val="24"/>
          <w:szCs w:val="24"/>
        </w:rPr>
        <w:t xml:space="preserve"> (северный и южный) и один </w:t>
      </w:r>
      <w:proofErr w:type="spellStart"/>
      <w:r w:rsidRPr="009D4676">
        <w:rPr>
          <w:rFonts w:ascii="Times New Roman" w:hAnsi="Times New Roman" w:cs="Times New Roman"/>
          <w:sz w:val="24"/>
          <w:szCs w:val="24"/>
        </w:rPr>
        <w:t>акваториальный</w:t>
      </w:r>
      <w:proofErr w:type="spellEnd"/>
      <w:r w:rsidRPr="009D4676">
        <w:rPr>
          <w:rFonts w:ascii="Times New Roman" w:hAnsi="Times New Roman" w:cs="Times New Roman"/>
          <w:sz w:val="24"/>
          <w:szCs w:val="24"/>
        </w:rPr>
        <w:t xml:space="preserve"> секторы, получает радиально-кольцевой планировочный каркас, определяющий функциональну</w:t>
      </w:r>
      <w:r w:rsidR="004E3931" w:rsidRPr="009D4676">
        <w:rPr>
          <w:rFonts w:ascii="Times New Roman" w:hAnsi="Times New Roman" w:cs="Times New Roman"/>
          <w:sz w:val="24"/>
          <w:szCs w:val="24"/>
        </w:rPr>
        <w:t>ю организацию терри</w:t>
      </w:r>
      <w:r w:rsidR="008D7BF6" w:rsidRPr="009D4676">
        <w:rPr>
          <w:rFonts w:ascii="Times New Roman" w:hAnsi="Times New Roman" w:cs="Times New Roman"/>
          <w:sz w:val="24"/>
          <w:szCs w:val="24"/>
        </w:rPr>
        <w:t>т</w:t>
      </w:r>
      <w:r w:rsidR="004E3931" w:rsidRPr="009D4676">
        <w:rPr>
          <w:rFonts w:ascii="Times New Roman" w:hAnsi="Times New Roman" w:cs="Times New Roman"/>
          <w:sz w:val="24"/>
          <w:szCs w:val="24"/>
        </w:rPr>
        <w:t>ории зоны (рис. 1)</w:t>
      </w:r>
      <w:r w:rsidR="009D4676">
        <w:rPr>
          <w:rFonts w:ascii="Times New Roman" w:hAnsi="Times New Roman" w:cs="Times New Roman"/>
          <w:sz w:val="24"/>
          <w:szCs w:val="24"/>
        </w:rPr>
        <w:t>.</w:t>
      </w:r>
    </w:p>
    <w:p w14:paraId="5FFDA413" w14:textId="77777777" w:rsidR="00223BDF" w:rsidRPr="009D4676" w:rsidRDefault="00223BDF" w:rsidP="00223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CC7904" w14:textId="208C4432" w:rsidR="0055494E" w:rsidRDefault="00223BDF" w:rsidP="00223BD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894A1" wp14:editId="46AF56A1">
            <wp:extent cx="2019631" cy="2009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524" cy="202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20832" w14:textId="77777777" w:rsidR="00AA2E29" w:rsidRDefault="00AA2E29" w:rsidP="00AA2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2E761" w14:textId="28507415" w:rsidR="004E3931" w:rsidRDefault="0055494E" w:rsidP="00AA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676">
        <w:rPr>
          <w:rFonts w:ascii="Times New Roman" w:hAnsi="Times New Roman" w:cs="Times New Roman"/>
          <w:sz w:val="24"/>
          <w:szCs w:val="24"/>
        </w:rPr>
        <w:t xml:space="preserve">Рисунок 1. Секторальная структура </w:t>
      </w:r>
      <w:proofErr w:type="spellStart"/>
      <w:r w:rsidRPr="009D4676">
        <w:rPr>
          <w:rFonts w:ascii="Times New Roman" w:hAnsi="Times New Roman" w:cs="Times New Roman"/>
          <w:sz w:val="24"/>
          <w:szCs w:val="24"/>
        </w:rPr>
        <w:t>Приневской</w:t>
      </w:r>
      <w:proofErr w:type="spellEnd"/>
      <w:r w:rsidRPr="009D4676">
        <w:rPr>
          <w:rFonts w:ascii="Times New Roman" w:hAnsi="Times New Roman" w:cs="Times New Roman"/>
          <w:sz w:val="24"/>
          <w:szCs w:val="24"/>
        </w:rPr>
        <w:t xml:space="preserve"> урбанизированной зоны</w:t>
      </w:r>
    </w:p>
    <w:p w14:paraId="10DB1F8B" w14:textId="77777777" w:rsidR="00223BDF" w:rsidRPr="009D4676" w:rsidRDefault="00223BDF" w:rsidP="00D06D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107FF" w14:textId="0B3C2D49" w:rsidR="004E3931" w:rsidRPr="009D4676" w:rsidRDefault="0F5AB7DF" w:rsidP="0F5AB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5AB7DF">
        <w:rPr>
          <w:rFonts w:ascii="Times New Roman" w:eastAsia="Times New Roman" w:hAnsi="Times New Roman" w:cs="Times New Roman"/>
          <w:sz w:val="24"/>
          <w:szCs w:val="24"/>
        </w:rPr>
        <w:t xml:space="preserve">Концепция градостроительного развития Приневской урбанизированной зоны исходит из признания реально действующих тенденций градостроительного развития урбанизированных территорий Карельского перешейка, левобережья р. Невы и южного берега восточной части Финского залива. В этом географическом пространстве сложилась звездообразная структура транспортно-планировочных направлений с центром в Санкт-Петербурге. Оптимизация существующих тенденций градостроительного развития исходя из экологически устойчивого принципа «поляризации ландшафтов» определяет секторально-лучевую модель функционально-планировочной структуры урбанизированной зоны. Эта модель позволяет сохранить возможности организации экологических клиньев в виде лесопокрытых участков и территорий сельскохозяйственного использования, между относительно урбанизированными транспортно-планировочными направлениями, включающими дисперсионно расположенные кластеры производственного и гражданского назначения, в том числе средне- и малоэтажного жилищного строительства и формирующиеся на базе существующих населенных пунктов. При этом наиболее удаленные от Санкт-Петербурга населенные пункты, расположенные во внешней зоне его влияния, имеют </w:t>
      </w:r>
      <w:r w:rsidRPr="0F5AB7DF">
        <w:rPr>
          <w:rFonts w:ascii="Times New Roman" w:eastAsia="Times New Roman" w:hAnsi="Times New Roman" w:cs="Times New Roman"/>
          <w:sz w:val="24"/>
          <w:szCs w:val="24"/>
        </w:rPr>
        <w:lastRenderedPageBreak/>
        <w:t>потенциал активного социально-экономического и градостроительного развития, как ядра окружающих их малых поселений.</w:t>
      </w:r>
    </w:p>
    <w:p w14:paraId="1F19DFC0" w14:textId="77777777" w:rsidR="00D55E8D" w:rsidRPr="009D4676" w:rsidRDefault="00D55E8D" w:rsidP="00D06D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676">
        <w:rPr>
          <w:rFonts w:ascii="Times New Roman" w:hAnsi="Times New Roman" w:cs="Times New Roman"/>
          <w:sz w:val="24"/>
          <w:szCs w:val="24"/>
        </w:rPr>
        <w:t xml:space="preserve">Ядерно-лучевая концепция формирования Приневской урбанизированной зоны для снятия </w:t>
      </w:r>
      <w:r w:rsidR="00683416">
        <w:rPr>
          <w:rFonts w:ascii="Times New Roman" w:hAnsi="Times New Roman" w:cs="Times New Roman"/>
          <w:sz w:val="24"/>
          <w:szCs w:val="24"/>
        </w:rPr>
        <w:t>неизбежной</w:t>
      </w:r>
      <w:r w:rsidRPr="009D4676">
        <w:rPr>
          <w:rFonts w:ascii="Times New Roman" w:hAnsi="Times New Roman" w:cs="Times New Roman"/>
          <w:sz w:val="24"/>
          <w:szCs w:val="24"/>
        </w:rPr>
        <w:t xml:space="preserve"> </w:t>
      </w:r>
      <w:r w:rsidR="009D4676">
        <w:rPr>
          <w:rFonts w:ascii="Times New Roman" w:hAnsi="Times New Roman" w:cs="Times New Roman"/>
          <w:sz w:val="24"/>
          <w:szCs w:val="24"/>
        </w:rPr>
        <w:t xml:space="preserve">остроты </w:t>
      </w:r>
      <w:r w:rsidRPr="009D4676">
        <w:rPr>
          <w:rFonts w:ascii="Times New Roman" w:hAnsi="Times New Roman" w:cs="Times New Roman"/>
          <w:sz w:val="24"/>
          <w:szCs w:val="24"/>
        </w:rPr>
        <w:t xml:space="preserve">центростремительных и центробежных миграционных потоков приводит к необходимости развития хордовых и кольцевых </w:t>
      </w:r>
      <w:r w:rsidR="008D7BF6" w:rsidRPr="009D4676">
        <w:rPr>
          <w:rFonts w:ascii="Times New Roman" w:hAnsi="Times New Roman" w:cs="Times New Roman"/>
          <w:sz w:val="24"/>
          <w:szCs w:val="24"/>
        </w:rPr>
        <w:t>транспортных</w:t>
      </w:r>
      <w:r w:rsidRPr="009D4676">
        <w:rPr>
          <w:rFonts w:ascii="Times New Roman" w:hAnsi="Times New Roman" w:cs="Times New Roman"/>
          <w:sz w:val="24"/>
          <w:szCs w:val="24"/>
        </w:rPr>
        <w:t xml:space="preserve"> коммуникаций, соединяющих между собой урбанизированные узлы на радиальных </w:t>
      </w:r>
      <w:r w:rsidR="008D7BF6" w:rsidRPr="009D4676">
        <w:rPr>
          <w:rFonts w:ascii="Times New Roman" w:hAnsi="Times New Roman" w:cs="Times New Roman"/>
          <w:sz w:val="24"/>
          <w:szCs w:val="24"/>
        </w:rPr>
        <w:t>транспортно</w:t>
      </w:r>
      <w:r w:rsidRPr="009D4676">
        <w:rPr>
          <w:rFonts w:ascii="Times New Roman" w:hAnsi="Times New Roman" w:cs="Times New Roman"/>
          <w:sz w:val="24"/>
          <w:szCs w:val="24"/>
        </w:rPr>
        <w:t>-планировочных направлениях.</w:t>
      </w:r>
    </w:p>
    <w:p w14:paraId="4A0BD89A" w14:textId="77777777" w:rsidR="00D55E8D" w:rsidRPr="009D4676" w:rsidRDefault="00D55E8D" w:rsidP="00D06D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676">
        <w:rPr>
          <w:rFonts w:ascii="Times New Roman" w:hAnsi="Times New Roman" w:cs="Times New Roman"/>
          <w:sz w:val="24"/>
          <w:szCs w:val="24"/>
        </w:rPr>
        <w:t xml:space="preserve">Природно-географическая </w:t>
      </w:r>
      <w:r w:rsidR="008D7BF6" w:rsidRPr="009D4676">
        <w:rPr>
          <w:rFonts w:ascii="Times New Roman" w:hAnsi="Times New Roman" w:cs="Times New Roman"/>
          <w:sz w:val="24"/>
          <w:szCs w:val="24"/>
        </w:rPr>
        <w:t>предопределённость</w:t>
      </w:r>
      <w:r w:rsidRPr="009D4676">
        <w:rPr>
          <w:rFonts w:ascii="Times New Roman" w:hAnsi="Times New Roman" w:cs="Times New Roman"/>
          <w:sz w:val="24"/>
          <w:szCs w:val="24"/>
        </w:rPr>
        <w:t xml:space="preserve"> развития радиально-кольцевой </w:t>
      </w:r>
      <w:r w:rsidR="008D7BF6" w:rsidRPr="009D4676">
        <w:rPr>
          <w:rFonts w:ascii="Times New Roman" w:hAnsi="Times New Roman" w:cs="Times New Roman"/>
          <w:sz w:val="24"/>
          <w:szCs w:val="24"/>
        </w:rPr>
        <w:t>функционально</w:t>
      </w:r>
      <w:r w:rsidRPr="009D4676">
        <w:rPr>
          <w:rFonts w:ascii="Times New Roman" w:hAnsi="Times New Roman" w:cs="Times New Roman"/>
          <w:sz w:val="24"/>
          <w:szCs w:val="24"/>
        </w:rPr>
        <w:t>-планировочной структуры формирует устойчивую во-времени градостроительную лучевую тенденцию расширения хозяйственного освоения террит</w:t>
      </w:r>
      <w:r w:rsidR="002461C8" w:rsidRPr="009D4676">
        <w:rPr>
          <w:rFonts w:ascii="Times New Roman" w:hAnsi="Times New Roman" w:cs="Times New Roman"/>
          <w:sz w:val="24"/>
          <w:szCs w:val="24"/>
        </w:rPr>
        <w:t xml:space="preserve">орий Приневской зоны. </w:t>
      </w:r>
    </w:p>
    <w:p w14:paraId="6F5D7A2F" w14:textId="3298FF72" w:rsidR="002461C8" w:rsidRDefault="0F5AB7DF" w:rsidP="0F5AB7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5AB7DF">
        <w:rPr>
          <w:rFonts w:ascii="Times New Roman" w:eastAsia="Times New Roman" w:hAnsi="Times New Roman" w:cs="Times New Roman"/>
          <w:sz w:val="24"/>
          <w:szCs w:val="24"/>
        </w:rPr>
        <w:t xml:space="preserve">Опыт градостроительного развития Санкт-Петербурга, накопленный более чем за три столетия освоения </w:t>
      </w:r>
      <w:proofErr w:type="spellStart"/>
      <w:r w:rsidRPr="0F5AB7DF">
        <w:rPr>
          <w:rFonts w:ascii="Times New Roman" w:eastAsia="Times New Roman" w:hAnsi="Times New Roman" w:cs="Times New Roman"/>
          <w:sz w:val="24"/>
          <w:szCs w:val="24"/>
        </w:rPr>
        <w:t>приневских</w:t>
      </w:r>
      <w:proofErr w:type="spellEnd"/>
      <w:r w:rsidRPr="0F5AB7DF">
        <w:rPr>
          <w:rFonts w:ascii="Times New Roman" w:eastAsia="Times New Roman" w:hAnsi="Times New Roman" w:cs="Times New Roman"/>
          <w:sz w:val="24"/>
          <w:szCs w:val="24"/>
        </w:rPr>
        <w:t xml:space="preserve"> территорий, показывает, что игнорирование генеральными планами города этой тенденции создает в конечном итоге, трудно решаемые и высокозатратные социально-экономические инженерно-технические и планировочные проблемы, ограничивающие и осложняющие сохранение условий устойчивого функционирования растущего городского организма. Расширение зоны урбанизации по принципу растекания «масляного пятна», связанное с постоянным заполнением свободных от застройки радиальных </w:t>
      </w:r>
      <w:proofErr w:type="spellStart"/>
      <w:r w:rsidRPr="0F5AB7DF">
        <w:rPr>
          <w:rFonts w:ascii="Times New Roman" w:eastAsia="Times New Roman" w:hAnsi="Times New Roman" w:cs="Times New Roman"/>
          <w:sz w:val="24"/>
          <w:szCs w:val="24"/>
        </w:rPr>
        <w:t>межкоммуникационных</w:t>
      </w:r>
      <w:proofErr w:type="spellEnd"/>
      <w:r w:rsidRPr="0F5AB7DF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характеризует все многочисленные генеральные планы города от 1716 до 1966 годов. Эта тенденция начала преодолеваться только при разработке генерального плана 1966 года и единого генерального плана Ленинграда и Ленинградской области 1986 года. </w:t>
      </w:r>
      <w:r w:rsidR="00223BDF" w:rsidRPr="0F5AB7DF">
        <w:rPr>
          <w:rFonts w:ascii="Times New Roman" w:eastAsia="Times New Roman" w:hAnsi="Times New Roman" w:cs="Times New Roman"/>
          <w:sz w:val="24"/>
          <w:szCs w:val="24"/>
        </w:rPr>
        <w:t>По результатам,</w:t>
      </w:r>
      <w:r w:rsidRPr="0F5AB7DF">
        <w:rPr>
          <w:rFonts w:ascii="Times New Roman" w:eastAsia="Times New Roman" w:hAnsi="Times New Roman" w:cs="Times New Roman"/>
          <w:sz w:val="24"/>
          <w:szCs w:val="24"/>
        </w:rPr>
        <w:t xml:space="preserve"> которых город получил возможность территориального развития в южном секторе, а также в западном направлении вдоль северного и южного берегов Финского залива. В свою очередь, область начала активно осваивать береговые территории вверх по Неве, вплоть до Ладожского озера. В итоге Приневская урбанизированная зона приобретает по факту лучевую структуру, потенциал развития которой сосредоточен в достижении допустимой и равномерной функциональной плотности освоения территорий лучевых направлений северного и южного секторов этой зоны (рис. 2)</w:t>
      </w:r>
      <w:r w:rsidR="00223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5B4C1F" w14:textId="1484194E" w:rsidR="00223BDF" w:rsidRDefault="00223BDF" w:rsidP="00223B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B8939" w14:textId="31348E3E" w:rsidR="00223BDF" w:rsidRPr="009D4676" w:rsidRDefault="00223BDF" w:rsidP="00223BD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1B411" wp14:editId="11CD6809">
            <wp:extent cx="2218414" cy="22103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1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31" cy="221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AA41" w14:textId="77777777" w:rsidR="00825C6B" w:rsidRPr="009D4676" w:rsidRDefault="00825C6B" w:rsidP="00D06D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2BC79E" w14:textId="77777777" w:rsidR="00223BDF" w:rsidRDefault="0055494E" w:rsidP="00223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676">
        <w:rPr>
          <w:rFonts w:ascii="Times New Roman" w:hAnsi="Times New Roman" w:cs="Times New Roman"/>
          <w:sz w:val="24"/>
          <w:szCs w:val="24"/>
        </w:rPr>
        <w:t>Рисунок 2. Лучевая стру</w:t>
      </w:r>
      <w:r w:rsidR="00223BDF">
        <w:rPr>
          <w:rFonts w:ascii="Times New Roman" w:hAnsi="Times New Roman" w:cs="Times New Roman"/>
          <w:sz w:val="24"/>
          <w:szCs w:val="24"/>
        </w:rPr>
        <w:t>ктура планировочной организации</w:t>
      </w:r>
    </w:p>
    <w:p w14:paraId="3A99E67C" w14:textId="09E959EE" w:rsidR="0055494E" w:rsidRDefault="00223BDF" w:rsidP="00223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урбанизированной зон</w:t>
      </w:r>
    </w:p>
    <w:p w14:paraId="3B8A6ED1" w14:textId="77777777" w:rsidR="00223BDF" w:rsidRPr="009D4676" w:rsidRDefault="00223BDF" w:rsidP="00223BD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79DD1C" w14:textId="149ACF28" w:rsidR="00825C6B" w:rsidRDefault="0F5AB7DF" w:rsidP="0F5AB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5AB7DF">
        <w:rPr>
          <w:rFonts w:ascii="Times New Roman" w:eastAsia="Times New Roman" w:hAnsi="Times New Roman" w:cs="Times New Roman"/>
          <w:sz w:val="24"/>
          <w:szCs w:val="24"/>
        </w:rPr>
        <w:t xml:space="preserve">Критерием определения длины лучевых радиальных направлений урбанизированного развития может быть принята транспортная удаленность функциональных территорий внутри планировочного луча, измеряемая расчетным временным периодом часовой доступности от </w:t>
      </w:r>
      <w:r w:rsidRPr="0F5AB7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границ Санкт-Петербурга, определенных в генеральном плане города 1966 года. Получаемая таким образом звездообразная функционально-планировочная структура урбанизированной зоны сможет обеспечить в среднем полуторачасовые транспортные связи внутри системы. Следовательно, в зону активных градостроительных преобразований могут втягиваться территории, находящиеся примерно в </w:t>
      </w:r>
      <w:r w:rsidR="00BE6A06">
        <w:rPr>
          <w:rFonts w:ascii="Times New Roman" w:eastAsia="Times New Roman" w:hAnsi="Times New Roman" w:cs="Times New Roman"/>
          <w:sz w:val="24"/>
          <w:szCs w:val="24"/>
        </w:rPr>
        <w:t>15-30</w:t>
      </w:r>
      <w:r w:rsidRPr="0F5AB7DF">
        <w:rPr>
          <w:rFonts w:ascii="Times New Roman" w:eastAsia="Times New Roman" w:hAnsi="Times New Roman" w:cs="Times New Roman"/>
          <w:sz w:val="24"/>
          <w:szCs w:val="24"/>
        </w:rPr>
        <w:t xml:space="preserve"> км от границ города 1966 года. В этой зоне должны реализовываться все функции, обеспечивающие на расчетный период условия сбалансированного экологически и экономически допустимого градостроительного и социально-экономического развития всех попадающих в данные границы административно-территориальных образований двух субъектов Российской Федерации – города федерального значения Санкт-Петербурга, городских и сельских поселений муниципальных районов Ленинградской области.</w:t>
      </w:r>
      <w:r w:rsidR="00BE6A06">
        <w:rPr>
          <w:rFonts w:ascii="Times New Roman" w:eastAsia="Times New Roman" w:hAnsi="Times New Roman" w:cs="Times New Roman"/>
          <w:sz w:val="24"/>
          <w:szCs w:val="24"/>
        </w:rPr>
        <w:t xml:space="preserve"> Территория зоны прямого агломерационного развития может включить в себя следующие населенные пункты Ленинградской области Рощино, Песочное, Сертолово, Токсово, Всеволожск, Ш</w:t>
      </w:r>
      <w:r w:rsidR="00BE6A06" w:rsidRPr="00BE6A06">
        <w:rPr>
          <w:rFonts w:ascii="Times New Roman" w:eastAsia="Times New Roman" w:hAnsi="Times New Roman" w:cs="Times New Roman"/>
          <w:sz w:val="24"/>
          <w:szCs w:val="24"/>
        </w:rPr>
        <w:t>лиссельбург</w:t>
      </w:r>
      <w:r w:rsidR="00BE6A06">
        <w:rPr>
          <w:rFonts w:ascii="Times New Roman" w:eastAsia="Times New Roman" w:hAnsi="Times New Roman" w:cs="Times New Roman"/>
          <w:sz w:val="24"/>
          <w:szCs w:val="24"/>
        </w:rPr>
        <w:t>, Кировск, Отрадное, Ульяновка, Коммунар, Гатчина, Русско-Высоцкое, Лебяжье и территории, находящиеся в зоне влияния этих населенных пунктов.</w:t>
      </w:r>
    </w:p>
    <w:p w14:paraId="1209F233" w14:textId="081E87A3" w:rsidR="00BE6A06" w:rsidRDefault="00BE6A06" w:rsidP="0F5AB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Очевидно, что с позиций организации коммуникационных связей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4F">
        <w:rPr>
          <w:rFonts w:ascii="Times New Roman" w:eastAsia="Times New Roman" w:hAnsi="Times New Roman" w:cs="Times New Roman"/>
          <w:sz w:val="24"/>
          <w:szCs w:val="24"/>
        </w:rPr>
        <w:t>агломерации, возникнет потребность формирования второй кольцевой автомагистрали с выходом на нее радиальных направлений в северном, восточном и южном секторах агломерации.</w:t>
      </w:r>
    </w:p>
    <w:p w14:paraId="16462447" w14:textId="260395F6" w:rsidR="0046744F" w:rsidRPr="009D4676" w:rsidRDefault="0046744F" w:rsidP="0F5AB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Образуемая при этом полоса между первой и второй кольцевыми автомагистралями должна быть поделена с помощью транспортных и инженерных коммуникаций на разные функциональные сектора жилищно-гражданского, производственно-логистического, коммунально-транспортного, сельскохозяйственного, специального и рекреационного назначения. Соотношение площадей этих секторов может быть установлено в документах по планировке территории данной полосы, ограниченных радикальными коммуникациями с безусловным приоритетом природоохранной и рекреационной функции с тем, чтобы обеспечить возрождение зеленого пояса Санкт-Петербурга и осуществить относительно плавный переход от городского высоко урбанизированного ландшафта к природному ландшафту Ленинградской области.</w:t>
      </w:r>
    </w:p>
    <w:p w14:paraId="249103A4" w14:textId="191CFC8A" w:rsidR="00A35F22" w:rsidRDefault="0F5AB7DF" w:rsidP="0F5AB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5AB7DF">
        <w:rPr>
          <w:rFonts w:ascii="Times New Roman" w:eastAsia="Times New Roman" w:hAnsi="Times New Roman" w:cs="Times New Roman"/>
          <w:sz w:val="24"/>
          <w:szCs w:val="24"/>
        </w:rPr>
        <w:t>Практически все функции, реализуемые в Приневской урбанизированной зоне, осуществляются субъектами хозяйственной деятельности на территориях и в имущественных комплексах Санкт-Петербурга и Ленинградской области. При этом перед администрациями данных субъектов Российской Федерации хозяйствующие юридические и физические лица будут ставить задачи территориального и инфраструктурного обеспечения своих функций, а администрации, в свою очередь, должны будут предусматривать соответствующее функциональное зонирование подведомственных территорий и инфраструктурные условия сбалансированной устойчивой и эффективной работы всех хозяйствующих субъектов (табл. 1)</w:t>
      </w:r>
    </w:p>
    <w:p w14:paraId="0811001F" w14:textId="77777777" w:rsidR="00AA2E29" w:rsidRPr="009D4676" w:rsidRDefault="00AA2E29" w:rsidP="0F5AB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DBAC8" w14:textId="0F3E4B67" w:rsidR="009353C7" w:rsidRDefault="008501A2" w:rsidP="00AA2E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676">
        <w:rPr>
          <w:rFonts w:ascii="Times New Roman" w:hAnsi="Times New Roman" w:cs="Times New Roman"/>
          <w:sz w:val="24"/>
          <w:szCs w:val="24"/>
        </w:rPr>
        <w:t>Таблица</w:t>
      </w:r>
      <w:r w:rsidR="0055494E" w:rsidRPr="009D467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3DF735A" w14:textId="77777777" w:rsidR="00AA2E29" w:rsidRPr="009D4676" w:rsidRDefault="00AA2E29" w:rsidP="00AA2E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098B99" w14:textId="77777777" w:rsidR="00AA2E29" w:rsidRDefault="008501A2" w:rsidP="00AA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676">
        <w:rPr>
          <w:rFonts w:ascii="Times New Roman" w:hAnsi="Times New Roman" w:cs="Times New Roman"/>
          <w:sz w:val="24"/>
          <w:szCs w:val="24"/>
        </w:rPr>
        <w:t>Примерный состав функциона</w:t>
      </w:r>
      <w:r w:rsidR="00AA2E29">
        <w:rPr>
          <w:rFonts w:ascii="Times New Roman" w:hAnsi="Times New Roman" w:cs="Times New Roman"/>
          <w:sz w:val="24"/>
          <w:szCs w:val="24"/>
        </w:rPr>
        <w:t>льных задач,</w:t>
      </w:r>
    </w:p>
    <w:p w14:paraId="7A6D7DAD" w14:textId="72C6A735" w:rsidR="008501A2" w:rsidRDefault="008501A2" w:rsidP="00AA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676">
        <w:rPr>
          <w:rFonts w:ascii="Times New Roman" w:hAnsi="Times New Roman" w:cs="Times New Roman"/>
          <w:sz w:val="24"/>
          <w:szCs w:val="24"/>
        </w:rPr>
        <w:t xml:space="preserve">реализуемых в </w:t>
      </w:r>
      <w:proofErr w:type="spellStart"/>
      <w:r w:rsidRPr="009D4676">
        <w:rPr>
          <w:rFonts w:ascii="Times New Roman" w:hAnsi="Times New Roman" w:cs="Times New Roman"/>
          <w:sz w:val="24"/>
          <w:szCs w:val="24"/>
        </w:rPr>
        <w:t>Приневской</w:t>
      </w:r>
      <w:proofErr w:type="spellEnd"/>
      <w:r w:rsidRPr="009D4676">
        <w:rPr>
          <w:rFonts w:ascii="Times New Roman" w:hAnsi="Times New Roman" w:cs="Times New Roman"/>
          <w:sz w:val="24"/>
          <w:szCs w:val="24"/>
        </w:rPr>
        <w:t xml:space="preserve"> урбанизированной зоне</w:t>
      </w:r>
    </w:p>
    <w:p w14:paraId="0C6FDB34" w14:textId="77777777" w:rsidR="00AA2E29" w:rsidRPr="009D4676" w:rsidRDefault="00AA2E29" w:rsidP="00D0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551"/>
      </w:tblGrid>
      <w:tr w:rsidR="008501A2" w:rsidRPr="009D4676" w14:paraId="3722DF79" w14:textId="77777777" w:rsidTr="0F5AB7DF">
        <w:trPr>
          <w:jc w:val="center"/>
        </w:trPr>
        <w:tc>
          <w:tcPr>
            <w:tcW w:w="562" w:type="dxa"/>
            <w:vAlign w:val="center"/>
          </w:tcPr>
          <w:p w14:paraId="6435D845" w14:textId="77777777" w:rsidR="008501A2" w:rsidRPr="009D4676" w:rsidRDefault="008501A2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329C0E7" w14:textId="77777777" w:rsidR="008501A2" w:rsidRPr="009D4676" w:rsidRDefault="008501A2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14:paraId="7B85AEDA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8501A2" w:rsidRPr="009D4676">
              <w:rPr>
                <w:rFonts w:ascii="Times New Roman" w:hAnsi="Times New Roman" w:cs="Times New Roman"/>
                <w:sz w:val="24"/>
                <w:szCs w:val="24"/>
              </w:rPr>
              <w:t xml:space="preserve"> задачи (потребности)</w:t>
            </w:r>
          </w:p>
        </w:tc>
        <w:tc>
          <w:tcPr>
            <w:tcW w:w="2552" w:type="dxa"/>
            <w:vAlign w:val="center"/>
          </w:tcPr>
          <w:p w14:paraId="60C9574D" w14:textId="77777777" w:rsidR="008501A2" w:rsidRPr="009D4676" w:rsidRDefault="008501A2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Потребности Санкт-Петербурга, реализуемые в Ленинградской области</w:t>
            </w:r>
          </w:p>
        </w:tc>
        <w:tc>
          <w:tcPr>
            <w:tcW w:w="2551" w:type="dxa"/>
            <w:vAlign w:val="center"/>
          </w:tcPr>
          <w:p w14:paraId="67A2804B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Потребности Ленинградской области, реализуемые в Санкт-Петербурге</w:t>
            </w:r>
          </w:p>
        </w:tc>
      </w:tr>
      <w:tr w:rsidR="008501A2" w:rsidRPr="009D4676" w14:paraId="24294319" w14:textId="77777777" w:rsidTr="0F5AB7DF">
        <w:trPr>
          <w:jc w:val="center"/>
        </w:trPr>
        <w:tc>
          <w:tcPr>
            <w:tcW w:w="562" w:type="dxa"/>
            <w:vAlign w:val="center"/>
          </w:tcPr>
          <w:p w14:paraId="1438F94E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F5AE3D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строительстве</w:t>
            </w:r>
          </w:p>
        </w:tc>
        <w:tc>
          <w:tcPr>
            <w:tcW w:w="2552" w:type="dxa"/>
            <w:vAlign w:val="center"/>
          </w:tcPr>
          <w:p w14:paraId="2B1A4599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14:paraId="1889FAE7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01A2" w:rsidRPr="009D4676" w14:paraId="0D88F177" w14:textId="77777777" w:rsidTr="0F5AB7DF">
        <w:trPr>
          <w:jc w:val="center"/>
        </w:trPr>
        <w:tc>
          <w:tcPr>
            <w:tcW w:w="562" w:type="dxa"/>
            <w:vAlign w:val="center"/>
          </w:tcPr>
          <w:p w14:paraId="24C012A1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7505EAA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Образование специальное</w:t>
            </w:r>
          </w:p>
        </w:tc>
        <w:tc>
          <w:tcPr>
            <w:tcW w:w="2552" w:type="dxa"/>
            <w:vAlign w:val="center"/>
          </w:tcPr>
          <w:p w14:paraId="761A7660" w14:textId="77777777" w:rsidR="008501A2" w:rsidRPr="009D4676" w:rsidRDefault="008501A2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0F7C5BC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01A2" w:rsidRPr="009D4676" w14:paraId="0C057CFD" w14:textId="77777777" w:rsidTr="0F5AB7DF">
        <w:trPr>
          <w:jc w:val="center"/>
        </w:trPr>
        <w:tc>
          <w:tcPr>
            <w:tcW w:w="562" w:type="dxa"/>
            <w:vAlign w:val="center"/>
          </w:tcPr>
          <w:p w14:paraId="65F1E827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8063282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552" w:type="dxa"/>
            <w:vAlign w:val="center"/>
          </w:tcPr>
          <w:p w14:paraId="1B182E59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14:paraId="67B782BB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01A2" w:rsidRPr="009D4676" w14:paraId="325476AF" w14:textId="77777777" w:rsidTr="0F5AB7DF">
        <w:trPr>
          <w:jc w:val="center"/>
        </w:trPr>
        <w:tc>
          <w:tcPr>
            <w:tcW w:w="562" w:type="dxa"/>
            <w:vAlign w:val="center"/>
          </w:tcPr>
          <w:p w14:paraId="307758C4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F8A74AB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Транспорт, логистика</w:t>
            </w:r>
          </w:p>
        </w:tc>
        <w:tc>
          <w:tcPr>
            <w:tcW w:w="2552" w:type="dxa"/>
            <w:vAlign w:val="center"/>
          </w:tcPr>
          <w:p w14:paraId="06258863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14:paraId="247DC2BE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01A2" w:rsidRPr="009D4676" w14:paraId="35B5493C" w14:textId="77777777" w:rsidTr="0F5AB7DF">
        <w:trPr>
          <w:jc w:val="center"/>
        </w:trPr>
        <w:tc>
          <w:tcPr>
            <w:tcW w:w="562" w:type="dxa"/>
            <w:vAlign w:val="center"/>
          </w:tcPr>
          <w:p w14:paraId="3C7A9DDC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0EA7BB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2552" w:type="dxa"/>
            <w:vAlign w:val="center"/>
          </w:tcPr>
          <w:p w14:paraId="17F9F3C3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14:paraId="0887E283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01A2" w:rsidRPr="009D4676" w14:paraId="2037FC17" w14:textId="77777777" w:rsidTr="0F5AB7DF">
        <w:trPr>
          <w:jc w:val="center"/>
        </w:trPr>
        <w:tc>
          <w:tcPr>
            <w:tcW w:w="562" w:type="dxa"/>
            <w:vAlign w:val="center"/>
          </w:tcPr>
          <w:p w14:paraId="6585F85D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0413ED9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552" w:type="dxa"/>
            <w:vAlign w:val="center"/>
          </w:tcPr>
          <w:p w14:paraId="1C301B61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14:paraId="2AF5F122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01A2" w:rsidRPr="009D4676" w14:paraId="0D650D5D" w14:textId="77777777" w:rsidTr="0F5AB7DF">
        <w:trPr>
          <w:jc w:val="center"/>
        </w:trPr>
        <w:tc>
          <w:tcPr>
            <w:tcW w:w="562" w:type="dxa"/>
            <w:vAlign w:val="center"/>
          </w:tcPr>
          <w:p w14:paraId="607210A1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5743FCA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552" w:type="dxa"/>
            <w:vAlign w:val="center"/>
          </w:tcPr>
          <w:p w14:paraId="39E9372F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14:paraId="3671E399" w14:textId="77777777" w:rsidR="008501A2" w:rsidRPr="009D4676" w:rsidRDefault="008501A2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A2" w:rsidRPr="009D4676" w14:paraId="6EAB3D5B" w14:textId="77777777" w:rsidTr="0F5AB7DF">
        <w:trPr>
          <w:jc w:val="center"/>
        </w:trPr>
        <w:tc>
          <w:tcPr>
            <w:tcW w:w="562" w:type="dxa"/>
            <w:vAlign w:val="center"/>
          </w:tcPr>
          <w:p w14:paraId="0E818A8A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B2336A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vAlign w:val="center"/>
          </w:tcPr>
          <w:p w14:paraId="0218EC7A" w14:textId="77777777" w:rsidR="008501A2" w:rsidRPr="009D4676" w:rsidRDefault="008501A2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F581688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01A2" w:rsidRPr="009D4676" w14:paraId="7A59CD1E" w14:textId="77777777" w:rsidTr="0F5AB7DF">
        <w:trPr>
          <w:jc w:val="center"/>
        </w:trPr>
        <w:tc>
          <w:tcPr>
            <w:tcW w:w="562" w:type="dxa"/>
            <w:vAlign w:val="center"/>
          </w:tcPr>
          <w:p w14:paraId="32BB79F0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4303CE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14:paraId="1C7AE485" w14:textId="77777777" w:rsidR="008501A2" w:rsidRPr="009D4676" w:rsidRDefault="008501A2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94697F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01A2" w:rsidRPr="009D4676" w14:paraId="7A87F4F4" w14:textId="77777777" w:rsidTr="0F5AB7DF">
        <w:trPr>
          <w:jc w:val="center"/>
        </w:trPr>
        <w:tc>
          <w:tcPr>
            <w:tcW w:w="562" w:type="dxa"/>
            <w:vAlign w:val="center"/>
          </w:tcPr>
          <w:p w14:paraId="6C8AD121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458C6F" w14:textId="27C145F2" w:rsidR="008501A2" w:rsidRPr="009D4676" w:rsidRDefault="0F5AB7DF" w:rsidP="0F5AB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5AB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Отдых, </w:t>
            </w:r>
            <w:proofErr w:type="spellStart"/>
            <w:r w:rsidRPr="0F5AB7DF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</w:tc>
        <w:tc>
          <w:tcPr>
            <w:tcW w:w="2552" w:type="dxa"/>
            <w:vAlign w:val="center"/>
          </w:tcPr>
          <w:p w14:paraId="12B5FAF2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14:paraId="04CE68CA" w14:textId="77777777" w:rsidR="008501A2" w:rsidRPr="009D4676" w:rsidRDefault="008501A2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A2" w:rsidRPr="009D4676" w14:paraId="33BE7F81" w14:textId="77777777" w:rsidTr="0F5AB7DF">
        <w:trPr>
          <w:jc w:val="center"/>
        </w:trPr>
        <w:tc>
          <w:tcPr>
            <w:tcW w:w="562" w:type="dxa"/>
            <w:vAlign w:val="center"/>
          </w:tcPr>
          <w:p w14:paraId="539F4C3C" w14:textId="77777777" w:rsidR="008501A2" w:rsidRPr="009D4676" w:rsidRDefault="008501A2" w:rsidP="00D06DFB">
            <w:pPr>
              <w:pStyle w:val="a4"/>
              <w:numPr>
                <w:ilvl w:val="0"/>
                <w:numId w:val="2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5602677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552" w:type="dxa"/>
            <w:vAlign w:val="center"/>
          </w:tcPr>
          <w:p w14:paraId="3C4B948F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14:paraId="31ED370F" w14:textId="77777777" w:rsidR="008501A2" w:rsidRPr="009D4676" w:rsidRDefault="0055494E" w:rsidP="00D0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67AEA53C" w14:textId="77777777" w:rsidR="008501A2" w:rsidRPr="009D4676" w:rsidRDefault="008501A2" w:rsidP="00D0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A5192" w14:textId="68396522" w:rsidR="009353C7" w:rsidRPr="009D4676" w:rsidRDefault="0F5AB7DF" w:rsidP="0F5AB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5AB7DF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 границах муниципальных образований Ленинградской области, находящихся в зоне активного урабанизационного влияния Санкт-Петербурга, необходимо предусмотреть возможность реализации ряда задач градостроительного и социально-экономического развития Санкт-Петербурга, в то время как в границах Санкт-Петербурга должны быть предусмотрены дополнительные мощности инфраструктурных объектов, для обеспечения ряда уникальных функций, инженерно-транспортных и социально-культурных потребностей жителей и экономики Ленинградской области. Определение параметров оказываемых взаимных услуг как в физических, так и в финансовых показателях может быть рассчитано в концепции градостроительного развития Приневской урбанизированной зоны и зафиксировано в </w:t>
      </w:r>
      <w:proofErr w:type="spellStart"/>
      <w:r w:rsidRPr="0F5AB7DF">
        <w:rPr>
          <w:rFonts w:ascii="Times New Roman" w:eastAsia="Times New Roman" w:hAnsi="Times New Roman" w:cs="Times New Roman"/>
          <w:sz w:val="24"/>
          <w:szCs w:val="24"/>
        </w:rPr>
        <w:t>межсубъектном</w:t>
      </w:r>
      <w:proofErr w:type="spellEnd"/>
      <w:r w:rsidRPr="0F5AB7DF">
        <w:rPr>
          <w:rFonts w:ascii="Times New Roman" w:eastAsia="Times New Roman" w:hAnsi="Times New Roman" w:cs="Times New Roman"/>
          <w:sz w:val="24"/>
          <w:szCs w:val="24"/>
        </w:rPr>
        <w:t xml:space="preserve"> договоре о социально-экономическом и градостроительном развитии этой зоны, </w:t>
      </w:r>
      <w:r w:rsidR="00223BDF" w:rsidRPr="0F5AB7DF">
        <w:rPr>
          <w:rFonts w:ascii="Times New Roman" w:eastAsia="Times New Roman" w:hAnsi="Times New Roman" w:cs="Times New Roman"/>
          <w:sz w:val="24"/>
          <w:szCs w:val="24"/>
        </w:rPr>
        <w:t>по которые стороны</w:t>
      </w:r>
      <w:r w:rsidRPr="0F5AB7DF">
        <w:rPr>
          <w:rFonts w:ascii="Times New Roman" w:eastAsia="Times New Roman" w:hAnsi="Times New Roman" w:cs="Times New Roman"/>
          <w:sz w:val="24"/>
          <w:szCs w:val="24"/>
        </w:rPr>
        <w:t xml:space="preserve"> договора берут конкретные обязательства по его исполнению в установленные сроки и на выбранных территориях. Собственно, подготовка обоснований и содержания такого договора может рассматриваться как условие задачи выполнения концепции социально-экономического градостроительного развития Приневской урбанизированной зоны как зоны агломерационного развития.</w:t>
      </w:r>
    </w:p>
    <w:sectPr w:rsidR="009353C7" w:rsidRPr="009D4676" w:rsidSect="009D46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3238"/>
    <w:multiLevelType w:val="hybridMultilevel"/>
    <w:tmpl w:val="B006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D312F"/>
    <w:multiLevelType w:val="hybridMultilevel"/>
    <w:tmpl w:val="2B188EB2"/>
    <w:lvl w:ilvl="0" w:tplc="E45A1322">
      <w:start w:val="1"/>
      <w:numFmt w:val="decimal"/>
      <w:lvlText w:val="%1."/>
      <w:lvlJc w:val="left"/>
      <w:pPr>
        <w:ind w:left="720" w:hanging="360"/>
      </w:pPr>
    </w:lvl>
    <w:lvl w:ilvl="1" w:tplc="5DAE6140">
      <w:start w:val="1"/>
      <w:numFmt w:val="lowerLetter"/>
      <w:lvlText w:val="%2."/>
      <w:lvlJc w:val="left"/>
      <w:pPr>
        <w:ind w:left="1440" w:hanging="360"/>
      </w:pPr>
    </w:lvl>
    <w:lvl w:ilvl="2" w:tplc="656C74E2">
      <w:start w:val="1"/>
      <w:numFmt w:val="lowerRoman"/>
      <w:lvlText w:val="%3."/>
      <w:lvlJc w:val="right"/>
      <w:pPr>
        <w:ind w:left="2160" w:hanging="180"/>
      </w:pPr>
    </w:lvl>
    <w:lvl w:ilvl="3" w:tplc="763A1958">
      <w:start w:val="1"/>
      <w:numFmt w:val="decimal"/>
      <w:lvlText w:val="%4."/>
      <w:lvlJc w:val="left"/>
      <w:pPr>
        <w:ind w:left="2880" w:hanging="360"/>
      </w:pPr>
    </w:lvl>
    <w:lvl w:ilvl="4" w:tplc="CB0AECD0">
      <w:start w:val="1"/>
      <w:numFmt w:val="lowerLetter"/>
      <w:lvlText w:val="%5."/>
      <w:lvlJc w:val="left"/>
      <w:pPr>
        <w:ind w:left="3600" w:hanging="360"/>
      </w:pPr>
    </w:lvl>
    <w:lvl w:ilvl="5" w:tplc="8708C60C">
      <w:start w:val="1"/>
      <w:numFmt w:val="lowerRoman"/>
      <w:lvlText w:val="%6."/>
      <w:lvlJc w:val="right"/>
      <w:pPr>
        <w:ind w:left="4320" w:hanging="180"/>
      </w:pPr>
    </w:lvl>
    <w:lvl w:ilvl="6" w:tplc="7826C3B0">
      <w:start w:val="1"/>
      <w:numFmt w:val="decimal"/>
      <w:lvlText w:val="%7."/>
      <w:lvlJc w:val="left"/>
      <w:pPr>
        <w:ind w:left="5040" w:hanging="360"/>
      </w:pPr>
    </w:lvl>
    <w:lvl w:ilvl="7" w:tplc="E9CCF8E6">
      <w:start w:val="1"/>
      <w:numFmt w:val="lowerLetter"/>
      <w:lvlText w:val="%8."/>
      <w:lvlJc w:val="left"/>
      <w:pPr>
        <w:ind w:left="5760" w:hanging="360"/>
      </w:pPr>
    </w:lvl>
    <w:lvl w:ilvl="8" w:tplc="3312B1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ED"/>
    <w:rsid w:val="001039B8"/>
    <w:rsid w:val="00223BDF"/>
    <w:rsid w:val="002461C8"/>
    <w:rsid w:val="0046744F"/>
    <w:rsid w:val="004A32B9"/>
    <w:rsid w:val="004E3931"/>
    <w:rsid w:val="0055494E"/>
    <w:rsid w:val="00683416"/>
    <w:rsid w:val="006B1C37"/>
    <w:rsid w:val="0078520D"/>
    <w:rsid w:val="007E108F"/>
    <w:rsid w:val="00825C6B"/>
    <w:rsid w:val="008501A2"/>
    <w:rsid w:val="00864FED"/>
    <w:rsid w:val="008D7BF6"/>
    <w:rsid w:val="008E0C94"/>
    <w:rsid w:val="009353C7"/>
    <w:rsid w:val="009D4676"/>
    <w:rsid w:val="00A35F22"/>
    <w:rsid w:val="00AA2E29"/>
    <w:rsid w:val="00BE6A06"/>
    <w:rsid w:val="00D06DFB"/>
    <w:rsid w:val="00D55E8D"/>
    <w:rsid w:val="00E57469"/>
    <w:rsid w:val="00EB1CF7"/>
    <w:rsid w:val="0F5AB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6473"/>
  <w15:chartTrackingRefBased/>
  <w15:docId w15:val="{E4C16311-4DB5-4FE0-B1C1-9866CD4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746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odchiy21.ru/5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Светлана Садретдинова</cp:lastModifiedBy>
  <cp:revision>3</cp:revision>
  <dcterms:created xsi:type="dcterms:W3CDTF">2017-10-04T09:34:00Z</dcterms:created>
  <dcterms:modified xsi:type="dcterms:W3CDTF">2018-11-27T11:56:00Z</dcterms:modified>
</cp:coreProperties>
</file>